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455" w:type="dxa"/>
        <w:tblLook w:val="04A0" w:firstRow="1" w:lastRow="0" w:firstColumn="1" w:lastColumn="0" w:noHBand="0" w:noVBand="1"/>
      </w:tblPr>
      <w:tblGrid>
        <w:gridCol w:w="3690"/>
        <w:gridCol w:w="3420"/>
        <w:gridCol w:w="3600"/>
      </w:tblGrid>
      <w:tr w:rsidR="00882E7E" w:rsidRPr="006A4A66" w:rsidTr="003A15E7">
        <w:tc>
          <w:tcPr>
            <w:tcW w:w="10710" w:type="dxa"/>
            <w:gridSpan w:val="3"/>
          </w:tcPr>
          <w:p w:rsidR="00882E7E" w:rsidRPr="006A4A66" w:rsidRDefault="00882E7E" w:rsidP="00E826F4">
            <w:pPr>
              <w:rPr>
                <w:sz w:val="28"/>
                <w:szCs w:val="28"/>
              </w:rPr>
            </w:pPr>
            <w:bookmarkStart w:id="0" w:name="_GoBack"/>
            <w:bookmarkEnd w:id="0"/>
            <w:r>
              <w:br w:type="page"/>
            </w:r>
            <w:proofErr w:type="spellStart"/>
            <w:r w:rsidR="00E826F4">
              <w:rPr>
                <w:b/>
                <w:sz w:val="32"/>
                <w:szCs w:val="32"/>
              </w:rPr>
              <w:t>Terracon</w:t>
            </w:r>
            <w:proofErr w:type="spellEnd"/>
            <w:r w:rsidR="00E826F4">
              <w:rPr>
                <w:b/>
                <w:sz w:val="32"/>
                <w:szCs w:val="32"/>
              </w:rPr>
              <w:t xml:space="preserve"> Consultants</w:t>
            </w:r>
          </w:p>
        </w:tc>
      </w:tr>
      <w:tr w:rsidR="00882E7E" w:rsidRPr="006A4A66" w:rsidTr="003A15E7">
        <w:tc>
          <w:tcPr>
            <w:tcW w:w="3690" w:type="dxa"/>
          </w:tcPr>
          <w:p w:rsidR="00882E7E" w:rsidRPr="006A4A66" w:rsidRDefault="00882E7E" w:rsidP="003A15E7">
            <w:pPr>
              <w:rPr>
                <w:sz w:val="28"/>
                <w:szCs w:val="28"/>
              </w:rPr>
            </w:pPr>
            <w:r w:rsidRPr="006A4A66">
              <w:rPr>
                <w:b/>
                <w:sz w:val="36"/>
                <w:szCs w:val="36"/>
              </w:rPr>
              <w:t>C</w:t>
            </w:r>
            <w:r w:rsidRPr="006A4A66">
              <w:rPr>
                <w:sz w:val="28"/>
                <w:szCs w:val="28"/>
              </w:rPr>
              <w:t>hallenge</w:t>
            </w:r>
          </w:p>
        </w:tc>
        <w:tc>
          <w:tcPr>
            <w:tcW w:w="3420" w:type="dxa"/>
          </w:tcPr>
          <w:p w:rsidR="00882E7E" w:rsidRPr="006A4A66" w:rsidRDefault="00882E7E" w:rsidP="003A15E7">
            <w:pPr>
              <w:rPr>
                <w:sz w:val="28"/>
                <w:szCs w:val="28"/>
              </w:rPr>
            </w:pPr>
            <w:r w:rsidRPr="006A4A66">
              <w:rPr>
                <w:b/>
                <w:sz w:val="36"/>
                <w:szCs w:val="36"/>
              </w:rPr>
              <w:t>A</w:t>
            </w:r>
            <w:r w:rsidRPr="006A4A66">
              <w:rPr>
                <w:sz w:val="28"/>
                <w:szCs w:val="28"/>
              </w:rPr>
              <w:t xml:space="preserve">ction </w:t>
            </w:r>
          </w:p>
        </w:tc>
        <w:tc>
          <w:tcPr>
            <w:tcW w:w="3600" w:type="dxa"/>
          </w:tcPr>
          <w:p w:rsidR="00882E7E" w:rsidRPr="006A4A66" w:rsidRDefault="00882E7E" w:rsidP="003A15E7">
            <w:pPr>
              <w:rPr>
                <w:sz w:val="28"/>
                <w:szCs w:val="28"/>
              </w:rPr>
            </w:pPr>
            <w:r w:rsidRPr="006A4A66">
              <w:rPr>
                <w:b/>
                <w:sz w:val="36"/>
                <w:szCs w:val="36"/>
              </w:rPr>
              <w:t>R</w:t>
            </w:r>
            <w:r w:rsidRPr="006A4A66">
              <w:rPr>
                <w:sz w:val="28"/>
                <w:szCs w:val="28"/>
              </w:rPr>
              <w:t>esult</w:t>
            </w:r>
          </w:p>
        </w:tc>
      </w:tr>
      <w:tr w:rsidR="00882E7E" w:rsidRPr="00E12DC6" w:rsidTr="003A15E7">
        <w:tc>
          <w:tcPr>
            <w:tcW w:w="3690" w:type="dxa"/>
          </w:tcPr>
          <w:p w:rsidR="00E879CE" w:rsidRDefault="00E826F4" w:rsidP="00E826F4">
            <w:pPr>
              <w:rPr>
                <w:rFonts w:ascii="Calibri" w:hAnsi="Calibri"/>
                <w:color w:val="000000"/>
              </w:rPr>
            </w:pPr>
            <w:r>
              <w:rPr>
                <w:rFonts w:ascii="Calibri" w:hAnsi="Calibri"/>
                <w:color w:val="000000"/>
              </w:rPr>
              <w:t xml:space="preserve">The existing Performance Management and Career Development (PMCD) process was viewed by the organization </w:t>
            </w:r>
            <w:proofErr w:type="gramStart"/>
            <w:r>
              <w:rPr>
                <w:rFonts w:ascii="Calibri" w:hAnsi="Calibri"/>
                <w:color w:val="000000"/>
              </w:rPr>
              <w:t>as focused more on filling out forms than</w:t>
            </w:r>
            <w:proofErr w:type="gramEnd"/>
            <w:r>
              <w:rPr>
                <w:rFonts w:ascii="Calibri" w:hAnsi="Calibri"/>
                <w:color w:val="000000"/>
              </w:rPr>
              <w:t xml:space="preserve"> talking about performance or goal setting.   </w:t>
            </w:r>
          </w:p>
          <w:p w:rsidR="00E879CE" w:rsidRDefault="00E879CE" w:rsidP="00E826F4">
            <w:pPr>
              <w:rPr>
                <w:rFonts w:ascii="Calibri" w:hAnsi="Calibri"/>
                <w:color w:val="000000"/>
              </w:rPr>
            </w:pPr>
          </w:p>
          <w:p w:rsidR="00E879CE" w:rsidRDefault="00E826F4" w:rsidP="00E826F4">
            <w:pPr>
              <w:rPr>
                <w:rFonts w:ascii="Calibri" w:hAnsi="Calibri"/>
                <w:color w:val="000000"/>
              </w:rPr>
            </w:pPr>
            <w:r>
              <w:rPr>
                <w:rFonts w:ascii="Calibri" w:hAnsi="Calibri"/>
                <w:color w:val="000000"/>
              </w:rPr>
              <w:t xml:space="preserve">Additionally, the company employee engagement results showed a lack of feedback and recognition.   </w:t>
            </w:r>
          </w:p>
          <w:p w:rsidR="00E879CE" w:rsidRDefault="00E879CE" w:rsidP="00E826F4">
            <w:pPr>
              <w:rPr>
                <w:rFonts w:ascii="Calibri" w:hAnsi="Calibri"/>
                <w:color w:val="000000"/>
              </w:rPr>
            </w:pPr>
          </w:p>
          <w:p w:rsidR="00E826F4" w:rsidRDefault="00E826F4" w:rsidP="00E826F4">
            <w:pPr>
              <w:rPr>
                <w:rFonts w:ascii="Calibri" w:hAnsi="Calibri"/>
                <w:color w:val="000000"/>
              </w:rPr>
            </w:pPr>
            <w:r>
              <w:rPr>
                <w:rFonts w:ascii="Calibri" w:hAnsi="Calibri"/>
                <w:color w:val="000000"/>
              </w:rPr>
              <w:t xml:space="preserve">The company began an assessment of what improvements could take place with the performance management and career development process to increase engagement with employees, offer feedback using care and concern (a value originating from </w:t>
            </w:r>
            <w:proofErr w:type="spellStart"/>
            <w:r>
              <w:rPr>
                <w:rFonts w:ascii="Calibri" w:hAnsi="Calibri"/>
                <w:color w:val="000000"/>
              </w:rPr>
              <w:t>Terracon’s</w:t>
            </w:r>
            <w:proofErr w:type="spellEnd"/>
            <w:r>
              <w:rPr>
                <w:rFonts w:ascii="Calibri" w:hAnsi="Calibri"/>
                <w:color w:val="000000"/>
              </w:rPr>
              <w:t xml:space="preserve"> Incident and Injury Free mindset) and demonstrating interest in developing employee’s careers.  </w:t>
            </w:r>
          </w:p>
          <w:p w:rsidR="00882E7E" w:rsidRDefault="00882E7E" w:rsidP="003A15E7"/>
        </w:tc>
        <w:tc>
          <w:tcPr>
            <w:tcW w:w="3420" w:type="dxa"/>
          </w:tcPr>
          <w:p w:rsidR="00E879CE" w:rsidRDefault="00E826F4" w:rsidP="003A15E7">
            <w:pPr>
              <w:rPr>
                <w:rFonts w:ascii="Calibri" w:hAnsi="Calibri"/>
                <w:color w:val="000000"/>
              </w:rPr>
            </w:pPr>
            <w:r>
              <w:rPr>
                <w:rFonts w:ascii="Calibri" w:hAnsi="Calibri"/>
                <w:color w:val="000000"/>
              </w:rPr>
              <w:t xml:space="preserve">The first step was to obtain knowledge from our Employee Engagement Leadership Team (EELT) comprised of employees at executive, manager, and technical levels.  </w:t>
            </w:r>
          </w:p>
          <w:p w:rsidR="00E879CE" w:rsidRDefault="00E879CE" w:rsidP="003A15E7">
            <w:pPr>
              <w:rPr>
                <w:rFonts w:ascii="Calibri" w:hAnsi="Calibri"/>
                <w:color w:val="000000"/>
              </w:rPr>
            </w:pPr>
          </w:p>
          <w:p w:rsidR="00E879CE" w:rsidRDefault="00E826F4" w:rsidP="003A15E7">
            <w:pPr>
              <w:rPr>
                <w:rFonts w:ascii="Calibri" w:hAnsi="Calibri"/>
                <w:color w:val="000000"/>
              </w:rPr>
            </w:pPr>
            <w:r>
              <w:rPr>
                <w:rFonts w:ascii="Calibri" w:hAnsi="Calibri"/>
                <w:color w:val="000000"/>
              </w:rPr>
              <w:t xml:space="preserve">The clear conclusion from our data gathering was to focus on having a conversation in which both the employee and supervisor shares feedback.  </w:t>
            </w:r>
          </w:p>
          <w:p w:rsidR="00E879CE" w:rsidRDefault="00E879CE" w:rsidP="003A15E7">
            <w:pPr>
              <w:rPr>
                <w:rFonts w:ascii="Calibri" w:hAnsi="Calibri"/>
                <w:color w:val="000000"/>
              </w:rPr>
            </w:pPr>
          </w:p>
          <w:p w:rsidR="00E879CE" w:rsidRDefault="00E826F4" w:rsidP="003A15E7">
            <w:pPr>
              <w:rPr>
                <w:rFonts w:ascii="Calibri" w:hAnsi="Calibri"/>
                <w:color w:val="000000"/>
              </w:rPr>
            </w:pPr>
            <w:r>
              <w:rPr>
                <w:rFonts w:ascii="Calibri" w:hAnsi="Calibri"/>
                <w:color w:val="000000"/>
              </w:rPr>
              <w:t xml:space="preserve">To build trust and engage employees we started “Connection Conversations” using Engage Cards.  </w:t>
            </w:r>
            <w:proofErr w:type="gramStart"/>
            <w:r>
              <w:rPr>
                <w:rFonts w:ascii="Calibri" w:hAnsi="Calibri"/>
                <w:color w:val="000000"/>
              </w:rPr>
              <w:t>This deck of cards explore</w:t>
            </w:r>
            <w:proofErr w:type="gramEnd"/>
            <w:r>
              <w:rPr>
                <w:rFonts w:ascii="Calibri" w:hAnsi="Calibri"/>
                <w:color w:val="000000"/>
              </w:rPr>
              <w:t xml:space="preserve"> work environment and job factors considered key to job satisfaction.  </w:t>
            </w:r>
          </w:p>
          <w:p w:rsidR="00E879CE" w:rsidRDefault="00E879CE" w:rsidP="003A15E7">
            <w:pPr>
              <w:rPr>
                <w:rFonts w:ascii="Calibri" w:hAnsi="Calibri"/>
                <w:color w:val="000000"/>
              </w:rPr>
            </w:pPr>
          </w:p>
          <w:p w:rsidR="00E879CE" w:rsidRDefault="00E826F4" w:rsidP="003A15E7">
            <w:pPr>
              <w:rPr>
                <w:rFonts w:ascii="Calibri" w:hAnsi="Calibri"/>
                <w:color w:val="000000"/>
              </w:rPr>
            </w:pPr>
            <w:r>
              <w:rPr>
                <w:rFonts w:ascii="Calibri" w:hAnsi="Calibri"/>
                <w:color w:val="000000"/>
              </w:rPr>
              <w:t xml:space="preserve">There are 29 cards that are sorted into categories of positive, negative, and neutral. The cards when sorted offer an opportunity for supervisors to more easily connect with employees </w:t>
            </w:r>
            <w:proofErr w:type="gramStart"/>
            <w:r>
              <w:rPr>
                <w:rFonts w:ascii="Calibri" w:hAnsi="Calibri"/>
                <w:color w:val="000000"/>
              </w:rPr>
              <w:t>in  healthy</w:t>
            </w:r>
            <w:proofErr w:type="gramEnd"/>
            <w:r>
              <w:rPr>
                <w:rFonts w:ascii="Calibri" w:hAnsi="Calibri"/>
                <w:color w:val="000000"/>
              </w:rPr>
              <w:t xml:space="preserve"> and constructive conversation about work.  </w:t>
            </w:r>
          </w:p>
          <w:p w:rsidR="00E879CE" w:rsidRDefault="00E879CE" w:rsidP="003A15E7">
            <w:pPr>
              <w:rPr>
                <w:rFonts w:ascii="Calibri" w:hAnsi="Calibri"/>
                <w:color w:val="000000"/>
              </w:rPr>
            </w:pPr>
          </w:p>
          <w:p w:rsidR="00E879CE" w:rsidRDefault="00E826F4" w:rsidP="003A15E7">
            <w:pPr>
              <w:rPr>
                <w:rFonts w:ascii="Calibri" w:hAnsi="Calibri"/>
                <w:color w:val="000000"/>
              </w:rPr>
            </w:pPr>
            <w:r>
              <w:rPr>
                <w:rFonts w:ascii="Calibri" w:hAnsi="Calibri"/>
                <w:color w:val="000000"/>
              </w:rPr>
              <w:t xml:space="preserve">This “Connection Conversation” occurs at least one time per year to drive connection between the supervisor and employee.  </w:t>
            </w:r>
            <w:proofErr w:type="spellStart"/>
            <w:r>
              <w:rPr>
                <w:rFonts w:ascii="Calibri" w:hAnsi="Calibri"/>
                <w:color w:val="000000"/>
              </w:rPr>
              <w:t>Terracon</w:t>
            </w:r>
            <w:proofErr w:type="spellEnd"/>
            <w:r>
              <w:rPr>
                <w:rFonts w:ascii="Calibri" w:hAnsi="Calibri"/>
                <w:color w:val="000000"/>
              </w:rPr>
              <w:t xml:space="preserve"> has over 3,800 employees nationwide in over 140 office locations, therefore training was offered in a virtual format.  </w:t>
            </w:r>
          </w:p>
          <w:p w:rsidR="00E879CE" w:rsidRDefault="00E879CE" w:rsidP="003A15E7">
            <w:pPr>
              <w:rPr>
                <w:rFonts w:ascii="Calibri" w:hAnsi="Calibri"/>
                <w:color w:val="000000"/>
              </w:rPr>
            </w:pPr>
          </w:p>
          <w:p w:rsidR="00E879CE" w:rsidRDefault="00E826F4" w:rsidP="003A15E7">
            <w:pPr>
              <w:rPr>
                <w:rFonts w:ascii="Calibri" w:hAnsi="Calibri"/>
                <w:color w:val="000000"/>
              </w:rPr>
            </w:pPr>
            <w:r>
              <w:rPr>
                <w:rFonts w:ascii="Calibri" w:hAnsi="Calibri"/>
                <w:color w:val="000000"/>
              </w:rPr>
              <w:t xml:space="preserve">The training was developed to incorporate live webinar, combined with watching a video (of how the process works which was filmed </w:t>
            </w:r>
            <w:r>
              <w:rPr>
                <w:rFonts w:ascii="Calibri" w:hAnsi="Calibri"/>
                <w:color w:val="000000"/>
              </w:rPr>
              <w:lastRenderedPageBreak/>
              <w:t xml:space="preserve">internally with </w:t>
            </w:r>
            <w:proofErr w:type="spellStart"/>
            <w:r>
              <w:rPr>
                <w:rFonts w:ascii="Calibri" w:hAnsi="Calibri"/>
                <w:color w:val="000000"/>
              </w:rPr>
              <w:t>Terracon</w:t>
            </w:r>
            <w:proofErr w:type="spellEnd"/>
            <w:r>
              <w:rPr>
                <w:rFonts w:ascii="Calibri" w:hAnsi="Calibri"/>
                <w:color w:val="000000"/>
              </w:rPr>
              <w:t xml:space="preserve"> employees), break-out groups to practice the process, and skills development. </w:t>
            </w:r>
          </w:p>
          <w:p w:rsidR="00E879CE" w:rsidRDefault="00E879CE" w:rsidP="003A15E7">
            <w:pPr>
              <w:rPr>
                <w:rFonts w:ascii="Calibri" w:hAnsi="Calibri"/>
                <w:color w:val="000000"/>
              </w:rPr>
            </w:pPr>
          </w:p>
          <w:p w:rsidR="00882E7E" w:rsidRPr="00E12DC6" w:rsidRDefault="00E826F4" w:rsidP="003A15E7">
            <w:pPr>
              <w:rPr>
                <w:rFonts w:ascii="Calibri" w:hAnsi="Calibri"/>
                <w:color w:val="000000"/>
              </w:rPr>
            </w:pPr>
            <w:r>
              <w:rPr>
                <w:rFonts w:ascii="Calibri" w:hAnsi="Calibri"/>
                <w:color w:val="000000"/>
              </w:rPr>
              <w:t xml:space="preserve">The Office Managers attended the live webinar and were instructed using a provided facilitator’s guide to train their supervisors. Training occurred without any travel within a one month period. </w:t>
            </w:r>
          </w:p>
        </w:tc>
        <w:tc>
          <w:tcPr>
            <w:tcW w:w="3600" w:type="dxa"/>
          </w:tcPr>
          <w:p w:rsidR="00E879CE" w:rsidRDefault="00E826F4" w:rsidP="00E826F4">
            <w:pPr>
              <w:rPr>
                <w:rFonts w:ascii="Calibri" w:hAnsi="Calibri"/>
                <w:color w:val="000000"/>
              </w:rPr>
            </w:pPr>
            <w:r>
              <w:rPr>
                <w:rFonts w:ascii="Calibri" w:hAnsi="Calibri"/>
                <w:color w:val="000000"/>
              </w:rPr>
              <w:lastRenderedPageBreak/>
              <w:t xml:space="preserve">Supervisors and employees began having “Connection Conversations” and within 3 months it was estimated by a sample survey of over 200 responses that 90% of the organization was having conversations.  </w:t>
            </w:r>
          </w:p>
          <w:p w:rsidR="00E879CE" w:rsidRDefault="00E879CE" w:rsidP="00E826F4">
            <w:pPr>
              <w:rPr>
                <w:rFonts w:ascii="Calibri" w:hAnsi="Calibri"/>
                <w:color w:val="000000"/>
              </w:rPr>
            </w:pPr>
          </w:p>
          <w:p w:rsidR="00E879CE" w:rsidRDefault="00E826F4" w:rsidP="00E826F4">
            <w:pPr>
              <w:rPr>
                <w:rFonts w:ascii="Calibri" w:hAnsi="Calibri"/>
                <w:color w:val="000000"/>
              </w:rPr>
            </w:pPr>
            <w:r>
              <w:rPr>
                <w:rFonts w:ascii="Calibri" w:hAnsi="Calibri"/>
                <w:color w:val="000000"/>
              </w:rPr>
              <w:t xml:space="preserve">Feedback was overwhelmingly positive.  Here is one comment received: The conversations were very informative, honest, and productive. </w:t>
            </w:r>
          </w:p>
          <w:p w:rsidR="00E879CE" w:rsidRDefault="00E879CE" w:rsidP="00E826F4">
            <w:pPr>
              <w:rPr>
                <w:rFonts w:ascii="Calibri" w:hAnsi="Calibri"/>
                <w:color w:val="000000"/>
              </w:rPr>
            </w:pPr>
          </w:p>
          <w:p w:rsidR="00E879CE" w:rsidRDefault="00E826F4" w:rsidP="00E826F4">
            <w:pPr>
              <w:rPr>
                <w:rFonts w:ascii="Calibri" w:hAnsi="Calibri"/>
                <w:color w:val="000000"/>
              </w:rPr>
            </w:pPr>
            <w:r>
              <w:rPr>
                <w:rFonts w:ascii="Calibri" w:hAnsi="Calibri"/>
                <w:color w:val="000000"/>
              </w:rPr>
              <w:t xml:space="preserve">The supervisors got better insights into what motivates their staff and what they value. </w:t>
            </w:r>
          </w:p>
          <w:p w:rsidR="00E879CE" w:rsidRDefault="00E879CE" w:rsidP="00E826F4">
            <w:pPr>
              <w:rPr>
                <w:rFonts w:ascii="Calibri" w:hAnsi="Calibri"/>
                <w:color w:val="000000"/>
              </w:rPr>
            </w:pPr>
          </w:p>
          <w:p w:rsidR="00E879CE" w:rsidRDefault="00E826F4" w:rsidP="00E826F4">
            <w:pPr>
              <w:rPr>
                <w:rFonts w:ascii="Calibri" w:hAnsi="Calibri"/>
                <w:color w:val="000000"/>
              </w:rPr>
            </w:pPr>
            <w:r>
              <w:rPr>
                <w:rFonts w:ascii="Calibri" w:hAnsi="Calibri"/>
                <w:color w:val="000000"/>
              </w:rPr>
              <w:t xml:space="preserve">The process was much better than PMCD and was met with little hesitation, resistance, or suspicion by staff. – Office Manager The Employee Engagement Survey completed 2 months after the Connection Conversations were to occur showed an improvement of close to 9 points from the previous year on the statement of providing feedback to employees. </w:t>
            </w:r>
          </w:p>
          <w:p w:rsidR="00E879CE" w:rsidRDefault="00E879CE" w:rsidP="00E826F4">
            <w:pPr>
              <w:rPr>
                <w:rFonts w:ascii="Calibri" w:hAnsi="Calibri"/>
                <w:color w:val="000000"/>
              </w:rPr>
            </w:pPr>
          </w:p>
          <w:p w:rsidR="00E826F4" w:rsidRDefault="00E826F4" w:rsidP="00E826F4">
            <w:pPr>
              <w:rPr>
                <w:rFonts w:ascii="Calibri" w:hAnsi="Calibri"/>
                <w:color w:val="000000"/>
              </w:rPr>
            </w:pPr>
            <w:r>
              <w:rPr>
                <w:rFonts w:ascii="Calibri" w:hAnsi="Calibri"/>
                <w:color w:val="000000"/>
              </w:rPr>
              <w:t xml:space="preserve">In 2017, </w:t>
            </w:r>
            <w:proofErr w:type="spellStart"/>
            <w:r>
              <w:rPr>
                <w:rFonts w:ascii="Calibri" w:hAnsi="Calibri"/>
                <w:color w:val="000000"/>
              </w:rPr>
              <w:t>Terracon</w:t>
            </w:r>
            <w:proofErr w:type="spellEnd"/>
            <w:r>
              <w:rPr>
                <w:rFonts w:ascii="Calibri" w:hAnsi="Calibri"/>
                <w:color w:val="000000"/>
              </w:rPr>
              <w:t xml:space="preserve"> will be continuing down the path of “Connection Conversations” with Career Conversations which is a card sorting tool to share and receive performance feedback on </w:t>
            </w:r>
            <w:proofErr w:type="spellStart"/>
            <w:r>
              <w:rPr>
                <w:rFonts w:ascii="Calibri" w:hAnsi="Calibri"/>
                <w:color w:val="000000"/>
              </w:rPr>
              <w:t>Terracon’s</w:t>
            </w:r>
            <w:proofErr w:type="spellEnd"/>
            <w:r>
              <w:rPr>
                <w:rFonts w:ascii="Calibri" w:hAnsi="Calibri"/>
                <w:color w:val="000000"/>
              </w:rPr>
              <w:t xml:space="preserve"> core competencies.  </w:t>
            </w:r>
          </w:p>
          <w:p w:rsidR="00882E7E" w:rsidRPr="00E12DC6" w:rsidRDefault="00882E7E" w:rsidP="003A15E7">
            <w:pPr>
              <w:rPr>
                <w:rFonts w:ascii="Calibri" w:hAnsi="Calibri"/>
                <w:color w:val="000000"/>
              </w:rPr>
            </w:pPr>
          </w:p>
        </w:tc>
      </w:tr>
    </w:tbl>
    <w:p w:rsidR="00AA5CFE" w:rsidRPr="006A4A66" w:rsidRDefault="00AA5CFE" w:rsidP="006A4A66"/>
    <w:sectPr w:rsidR="00AA5CFE" w:rsidRPr="006A4A66" w:rsidSect="00E12D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9B7" w:rsidRDefault="00F449B7" w:rsidP="006A4A66">
      <w:pPr>
        <w:spacing w:after="0" w:line="240" w:lineRule="auto"/>
      </w:pPr>
      <w:r>
        <w:separator/>
      </w:r>
    </w:p>
  </w:endnote>
  <w:endnote w:type="continuationSeparator" w:id="0">
    <w:p w:rsidR="00F449B7" w:rsidRDefault="00F449B7" w:rsidP="006A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9B7" w:rsidRDefault="00F449B7" w:rsidP="006A4A66">
      <w:pPr>
        <w:spacing w:after="0" w:line="240" w:lineRule="auto"/>
      </w:pPr>
      <w:r>
        <w:separator/>
      </w:r>
    </w:p>
  </w:footnote>
  <w:footnote w:type="continuationSeparator" w:id="0">
    <w:p w:rsidR="00F449B7" w:rsidRDefault="00F449B7" w:rsidP="006A4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66" w:rsidRPr="006A4A66" w:rsidRDefault="006A4A66">
    <w:pPr>
      <w:pStyle w:val="Header"/>
      <w:rPr>
        <w:b/>
        <w:sz w:val="32"/>
        <w:szCs w:val="32"/>
      </w:rPr>
    </w:pPr>
    <w:r w:rsidRPr="006A4A66">
      <w:rPr>
        <w:b/>
        <w:sz w:val="32"/>
        <w:szCs w:val="32"/>
      </w:rPr>
      <w:t>2017 ATD KC Excellence in Practice</w:t>
    </w:r>
  </w:p>
  <w:p w:rsidR="006A4A66" w:rsidRDefault="006A4A66">
    <w:pPr>
      <w:pStyle w:val="Header"/>
    </w:pPr>
  </w:p>
  <w:p w:rsidR="006A4A66" w:rsidRPr="006A4A66" w:rsidRDefault="00DE7AD5">
    <w:pPr>
      <w:pStyle w:val="Header"/>
      <w:rPr>
        <w:sz w:val="32"/>
        <w:szCs w:val="32"/>
      </w:rPr>
    </w:pPr>
    <w:r>
      <w:rPr>
        <w:sz w:val="32"/>
        <w:szCs w:val="32"/>
      </w:rPr>
      <w:t>Talent Development</w:t>
    </w:r>
  </w:p>
  <w:p w:rsidR="006A4A66" w:rsidRDefault="006A4A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C3"/>
    <w:rsid w:val="00142C84"/>
    <w:rsid w:val="00216EA0"/>
    <w:rsid w:val="00233D2B"/>
    <w:rsid w:val="00414330"/>
    <w:rsid w:val="00440DD7"/>
    <w:rsid w:val="005902E2"/>
    <w:rsid w:val="005F5BA8"/>
    <w:rsid w:val="00644601"/>
    <w:rsid w:val="00665C47"/>
    <w:rsid w:val="006A4A66"/>
    <w:rsid w:val="0078019E"/>
    <w:rsid w:val="00782963"/>
    <w:rsid w:val="008241EC"/>
    <w:rsid w:val="00882E7E"/>
    <w:rsid w:val="008928C3"/>
    <w:rsid w:val="00AA5CFE"/>
    <w:rsid w:val="00CC576C"/>
    <w:rsid w:val="00D27DA1"/>
    <w:rsid w:val="00DE7AD5"/>
    <w:rsid w:val="00E12DC6"/>
    <w:rsid w:val="00E14980"/>
    <w:rsid w:val="00E826F4"/>
    <w:rsid w:val="00E879CE"/>
    <w:rsid w:val="00EC1E80"/>
    <w:rsid w:val="00F04B1C"/>
    <w:rsid w:val="00F449B7"/>
    <w:rsid w:val="00FD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A66"/>
  </w:style>
  <w:style w:type="paragraph" w:styleId="Footer">
    <w:name w:val="footer"/>
    <w:basedOn w:val="Normal"/>
    <w:link w:val="FooterChar"/>
    <w:uiPriority w:val="99"/>
    <w:unhideWhenUsed/>
    <w:rsid w:val="006A4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A66"/>
  </w:style>
  <w:style w:type="table" w:styleId="TableGrid">
    <w:name w:val="Table Grid"/>
    <w:basedOn w:val="TableNormal"/>
    <w:uiPriority w:val="39"/>
    <w:rsid w:val="006A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A66"/>
  </w:style>
  <w:style w:type="paragraph" w:styleId="Footer">
    <w:name w:val="footer"/>
    <w:basedOn w:val="Normal"/>
    <w:link w:val="FooterChar"/>
    <w:uiPriority w:val="99"/>
    <w:unhideWhenUsed/>
    <w:rsid w:val="006A4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A66"/>
  </w:style>
  <w:style w:type="table" w:styleId="TableGrid">
    <w:name w:val="Table Grid"/>
    <w:basedOn w:val="TableNormal"/>
    <w:uiPriority w:val="39"/>
    <w:rsid w:val="006A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353">
      <w:bodyDiv w:val="1"/>
      <w:marLeft w:val="0"/>
      <w:marRight w:val="0"/>
      <w:marTop w:val="0"/>
      <w:marBottom w:val="0"/>
      <w:divBdr>
        <w:top w:val="none" w:sz="0" w:space="0" w:color="auto"/>
        <w:left w:val="none" w:sz="0" w:space="0" w:color="auto"/>
        <w:bottom w:val="none" w:sz="0" w:space="0" w:color="auto"/>
        <w:right w:val="none" w:sz="0" w:space="0" w:color="auto"/>
      </w:divBdr>
    </w:div>
    <w:div w:id="77866378">
      <w:bodyDiv w:val="1"/>
      <w:marLeft w:val="0"/>
      <w:marRight w:val="0"/>
      <w:marTop w:val="0"/>
      <w:marBottom w:val="0"/>
      <w:divBdr>
        <w:top w:val="none" w:sz="0" w:space="0" w:color="auto"/>
        <w:left w:val="none" w:sz="0" w:space="0" w:color="auto"/>
        <w:bottom w:val="none" w:sz="0" w:space="0" w:color="auto"/>
        <w:right w:val="none" w:sz="0" w:space="0" w:color="auto"/>
      </w:divBdr>
    </w:div>
    <w:div w:id="136148490">
      <w:bodyDiv w:val="1"/>
      <w:marLeft w:val="0"/>
      <w:marRight w:val="0"/>
      <w:marTop w:val="0"/>
      <w:marBottom w:val="0"/>
      <w:divBdr>
        <w:top w:val="none" w:sz="0" w:space="0" w:color="auto"/>
        <w:left w:val="none" w:sz="0" w:space="0" w:color="auto"/>
        <w:bottom w:val="none" w:sz="0" w:space="0" w:color="auto"/>
        <w:right w:val="none" w:sz="0" w:space="0" w:color="auto"/>
      </w:divBdr>
    </w:div>
    <w:div w:id="597712945">
      <w:bodyDiv w:val="1"/>
      <w:marLeft w:val="0"/>
      <w:marRight w:val="0"/>
      <w:marTop w:val="0"/>
      <w:marBottom w:val="0"/>
      <w:divBdr>
        <w:top w:val="none" w:sz="0" w:space="0" w:color="auto"/>
        <w:left w:val="none" w:sz="0" w:space="0" w:color="auto"/>
        <w:bottom w:val="none" w:sz="0" w:space="0" w:color="auto"/>
        <w:right w:val="none" w:sz="0" w:space="0" w:color="auto"/>
      </w:divBdr>
    </w:div>
    <w:div w:id="656539876">
      <w:bodyDiv w:val="1"/>
      <w:marLeft w:val="0"/>
      <w:marRight w:val="0"/>
      <w:marTop w:val="0"/>
      <w:marBottom w:val="0"/>
      <w:divBdr>
        <w:top w:val="none" w:sz="0" w:space="0" w:color="auto"/>
        <w:left w:val="none" w:sz="0" w:space="0" w:color="auto"/>
        <w:bottom w:val="none" w:sz="0" w:space="0" w:color="auto"/>
        <w:right w:val="none" w:sz="0" w:space="0" w:color="auto"/>
      </w:divBdr>
    </w:div>
    <w:div w:id="905530048">
      <w:bodyDiv w:val="1"/>
      <w:marLeft w:val="0"/>
      <w:marRight w:val="0"/>
      <w:marTop w:val="0"/>
      <w:marBottom w:val="0"/>
      <w:divBdr>
        <w:top w:val="none" w:sz="0" w:space="0" w:color="auto"/>
        <w:left w:val="none" w:sz="0" w:space="0" w:color="auto"/>
        <w:bottom w:val="none" w:sz="0" w:space="0" w:color="auto"/>
        <w:right w:val="none" w:sz="0" w:space="0" w:color="auto"/>
      </w:divBdr>
    </w:div>
    <w:div w:id="933055767">
      <w:bodyDiv w:val="1"/>
      <w:marLeft w:val="0"/>
      <w:marRight w:val="0"/>
      <w:marTop w:val="0"/>
      <w:marBottom w:val="0"/>
      <w:divBdr>
        <w:top w:val="none" w:sz="0" w:space="0" w:color="auto"/>
        <w:left w:val="none" w:sz="0" w:space="0" w:color="auto"/>
        <w:bottom w:val="none" w:sz="0" w:space="0" w:color="auto"/>
        <w:right w:val="none" w:sz="0" w:space="0" w:color="auto"/>
      </w:divBdr>
    </w:div>
    <w:div w:id="1023939102">
      <w:bodyDiv w:val="1"/>
      <w:marLeft w:val="0"/>
      <w:marRight w:val="0"/>
      <w:marTop w:val="0"/>
      <w:marBottom w:val="0"/>
      <w:divBdr>
        <w:top w:val="none" w:sz="0" w:space="0" w:color="auto"/>
        <w:left w:val="none" w:sz="0" w:space="0" w:color="auto"/>
        <w:bottom w:val="none" w:sz="0" w:space="0" w:color="auto"/>
        <w:right w:val="none" w:sz="0" w:space="0" w:color="auto"/>
      </w:divBdr>
    </w:div>
    <w:div w:id="1059089049">
      <w:bodyDiv w:val="1"/>
      <w:marLeft w:val="0"/>
      <w:marRight w:val="0"/>
      <w:marTop w:val="0"/>
      <w:marBottom w:val="0"/>
      <w:divBdr>
        <w:top w:val="none" w:sz="0" w:space="0" w:color="auto"/>
        <w:left w:val="none" w:sz="0" w:space="0" w:color="auto"/>
        <w:bottom w:val="none" w:sz="0" w:space="0" w:color="auto"/>
        <w:right w:val="none" w:sz="0" w:space="0" w:color="auto"/>
      </w:divBdr>
    </w:div>
    <w:div w:id="1067462043">
      <w:bodyDiv w:val="1"/>
      <w:marLeft w:val="0"/>
      <w:marRight w:val="0"/>
      <w:marTop w:val="0"/>
      <w:marBottom w:val="0"/>
      <w:divBdr>
        <w:top w:val="none" w:sz="0" w:space="0" w:color="auto"/>
        <w:left w:val="none" w:sz="0" w:space="0" w:color="auto"/>
        <w:bottom w:val="none" w:sz="0" w:space="0" w:color="auto"/>
        <w:right w:val="none" w:sz="0" w:space="0" w:color="auto"/>
      </w:divBdr>
    </w:div>
    <w:div w:id="1294869552">
      <w:bodyDiv w:val="1"/>
      <w:marLeft w:val="0"/>
      <w:marRight w:val="0"/>
      <w:marTop w:val="0"/>
      <w:marBottom w:val="0"/>
      <w:divBdr>
        <w:top w:val="none" w:sz="0" w:space="0" w:color="auto"/>
        <w:left w:val="none" w:sz="0" w:space="0" w:color="auto"/>
        <w:bottom w:val="none" w:sz="0" w:space="0" w:color="auto"/>
        <w:right w:val="none" w:sz="0" w:space="0" w:color="auto"/>
      </w:divBdr>
    </w:div>
    <w:div w:id="1600334257">
      <w:bodyDiv w:val="1"/>
      <w:marLeft w:val="0"/>
      <w:marRight w:val="0"/>
      <w:marTop w:val="0"/>
      <w:marBottom w:val="0"/>
      <w:divBdr>
        <w:top w:val="none" w:sz="0" w:space="0" w:color="auto"/>
        <w:left w:val="none" w:sz="0" w:space="0" w:color="auto"/>
        <w:bottom w:val="none" w:sz="0" w:space="0" w:color="auto"/>
        <w:right w:val="none" w:sz="0" w:space="0" w:color="auto"/>
      </w:divBdr>
    </w:div>
    <w:div w:id="1850945263">
      <w:bodyDiv w:val="1"/>
      <w:marLeft w:val="0"/>
      <w:marRight w:val="0"/>
      <w:marTop w:val="0"/>
      <w:marBottom w:val="0"/>
      <w:divBdr>
        <w:top w:val="none" w:sz="0" w:space="0" w:color="auto"/>
        <w:left w:val="none" w:sz="0" w:space="0" w:color="auto"/>
        <w:bottom w:val="none" w:sz="0" w:space="0" w:color="auto"/>
        <w:right w:val="none" w:sz="0" w:space="0" w:color="auto"/>
      </w:divBdr>
    </w:div>
    <w:div w:id="2003001638">
      <w:bodyDiv w:val="1"/>
      <w:marLeft w:val="0"/>
      <w:marRight w:val="0"/>
      <w:marTop w:val="0"/>
      <w:marBottom w:val="0"/>
      <w:divBdr>
        <w:top w:val="none" w:sz="0" w:space="0" w:color="auto"/>
        <w:left w:val="none" w:sz="0" w:space="0" w:color="auto"/>
        <w:bottom w:val="none" w:sz="0" w:space="0" w:color="auto"/>
        <w:right w:val="none" w:sz="0" w:space="0" w:color="auto"/>
      </w:divBdr>
    </w:div>
    <w:div w:id="2025939079">
      <w:bodyDiv w:val="1"/>
      <w:marLeft w:val="0"/>
      <w:marRight w:val="0"/>
      <w:marTop w:val="0"/>
      <w:marBottom w:val="0"/>
      <w:divBdr>
        <w:top w:val="none" w:sz="0" w:space="0" w:color="auto"/>
        <w:left w:val="none" w:sz="0" w:space="0" w:color="auto"/>
        <w:bottom w:val="none" w:sz="0" w:space="0" w:color="auto"/>
        <w:right w:val="none" w:sz="0" w:space="0" w:color="auto"/>
      </w:divBdr>
    </w:div>
    <w:div w:id="2098624358">
      <w:bodyDiv w:val="1"/>
      <w:marLeft w:val="0"/>
      <w:marRight w:val="0"/>
      <w:marTop w:val="0"/>
      <w:marBottom w:val="0"/>
      <w:divBdr>
        <w:top w:val="none" w:sz="0" w:space="0" w:color="auto"/>
        <w:left w:val="none" w:sz="0" w:space="0" w:color="auto"/>
        <w:bottom w:val="none" w:sz="0" w:space="0" w:color="auto"/>
        <w:right w:val="none" w:sz="0" w:space="0" w:color="auto"/>
      </w:divBdr>
    </w:div>
    <w:div w:id="211170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Smith</dc:creator>
  <cp:lastModifiedBy>Swift, Shannon</cp:lastModifiedBy>
  <cp:revision>2</cp:revision>
  <dcterms:created xsi:type="dcterms:W3CDTF">2017-03-27T14:41:00Z</dcterms:created>
  <dcterms:modified xsi:type="dcterms:W3CDTF">2017-03-27T14:41:00Z</dcterms:modified>
</cp:coreProperties>
</file>